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0D1" w:rsidRPr="008500D1" w:rsidRDefault="008500D1" w:rsidP="008500D1">
      <w:pPr>
        <w:spacing w:before="100" w:beforeAutospacing="1" w:after="100" w:afterAutospacing="1" w:line="240" w:lineRule="auto"/>
        <w:jc w:val="both"/>
        <w:rPr>
          <w:rFonts w:ascii="Verdana" w:eastAsia="Times New Roman" w:hAnsi="Verdana" w:cs="Times New Roman"/>
          <w:color w:val="000000"/>
          <w:sz w:val="15"/>
          <w:szCs w:val="15"/>
          <w:lang w:eastAsia="tr-TR"/>
        </w:rPr>
      </w:pPr>
      <w:r w:rsidRPr="008500D1">
        <w:rPr>
          <w:rFonts w:ascii="Verdana" w:eastAsia="Times New Roman" w:hAnsi="Verdana" w:cs="Times New Roman"/>
          <w:b/>
          <w:bCs/>
          <w:color w:val="000000"/>
          <w:sz w:val="15"/>
          <w:szCs w:val="15"/>
          <w:lang w:eastAsia="tr-TR"/>
        </w:rPr>
        <w:t>Asgari ücretlinin maaşında meydan gelen düşüklüğü tamamlama,</w:t>
      </w:r>
    </w:p>
    <w:p w:rsidR="008500D1" w:rsidRPr="008500D1" w:rsidRDefault="008500D1" w:rsidP="008500D1">
      <w:pPr>
        <w:spacing w:before="100" w:beforeAutospacing="1" w:after="100" w:afterAutospacing="1" w:line="240" w:lineRule="auto"/>
        <w:jc w:val="both"/>
        <w:rPr>
          <w:rFonts w:ascii="Verdana" w:eastAsia="Times New Roman" w:hAnsi="Verdana" w:cs="Times New Roman"/>
          <w:color w:val="000000"/>
          <w:sz w:val="15"/>
          <w:szCs w:val="15"/>
          <w:lang w:eastAsia="tr-TR"/>
        </w:rPr>
      </w:pPr>
      <w:r w:rsidRPr="008500D1">
        <w:rPr>
          <w:rFonts w:ascii="Verdana" w:eastAsia="Times New Roman" w:hAnsi="Verdana" w:cs="Times New Roman"/>
          <w:b/>
          <w:bCs/>
          <w:color w:val="000000"/>
          <w:sz w:val="15"/>
          <w:szCs w:val="15"/>
          <w:lang w:eastAsia="tr-TR"/>
        </w:rPr>
        <w:t> </w:t>
      </w:r>
    </w:p>
    <w:p w:rsidR="008500D1" w:rsidRPr="008500D1" w:rsidRDefault="008500D1" w:rsidP="008500D1">
      <w:pPr>
        <w:spacing w:before="100" w:beforeAutospacing="1" w:after="100" w:afterAutospacing="1" w:line="240" w:lineRule="auto"/>
        <w:jc w:val="both"/>
        <w:rPr>
          <w:rFonts w:ascii="Verdana" w:eastAsia="Times New Roman" w:hAnsi="Verdana" w:cs="Times New Roman"/>
          <w:color w:val="000000"/>
          <w:sz w:val="15"/>
          <w:szCs w:val="15"/>
          <w:lang w:eastAsia="tr-TR"/>
        </w:rPr>
      </w:pPr>
      <w:r w:rsidRPr="008500D1">
        <w:rPr>
          <w:rFonts w:ascii="Verdana" w:eastAsia="Times New Roman" w:hAnsi="Verdana" w:cs="Times New Roman"/>
          <w:color w:val="000000"/>
          <w:sz w:val="15"/>
          <w:szCs w:val="15"/>
          <w:lang w:eastAsia="tr-TR"/>
        </w:rPr>
        <w:t xml:space="preserve">26.10.2016 tarih 6753 sayılı kanun ile, “asgari ücretli olarak çalışan sigortalının,  2016 yılı Ekim, Kasım, Aralık aylarının net ücretinde, Ocak 2016 ayında aldığı net ücretine göre (AGİ dahil 1.300 TL) meydana gelen azalma kadar, </w:t>
      </w:r>
      <w:proofErr w:type="spellStart"/>
      <w:r w:rsidRPr="008500D1">
        <w:rPr>
          <w:rFonts w:ascii="Verdana" w:eastAsia="Times New Roman" w:hAnsi="Verdana" w:cs="Times New Roman"/>
          <w:color w:val="000000"/>
          <w:sz w:val="15"/>
          <w:szCs w:val="15"/>
          <w:lang w:eastAsia="tr-TR"/>
        </w:rPr>
        <w:t>AGİ’ne</w:t>
      </w:r>
      <w:proofErr w:type="spellEnd"/>
      <w:r w:rsidRPr="008500D1">
        <w:rPr>
          <w:rFonts w:ascii="Verdana" w:eastAsia="Times New Roman" w:hAnsi="Verdana" w:cs="Times New Roman"/>
          <w:color w:val="000000"/>
          <w:sz w:val="15"/>
          <w:szCs w:val="15"/>
          <w:lang w:eastAsia="tr-TR"/>
        </w:rPr>
        <w:t xml:space="preserve"> ilave edilir.” hükmü getirilmiştir.</w:t>
      </w:r>
    </w:p>
    <w:p w:rsidR="008500D1" w:rsidRPr="008500D1" w:rsidRDefault="008500D1" w:rsidP="008500D1">
      <w:pPr>
        <w:spacing w:before="100" w:beforeAutospacing="1" w:after="100" w:afterAutospacing="1" w:line="240" w:lineRule="auto"/>
        <w:jc w:val="both"/>
        <w:rPr>
          <w:rFonts w:ascii="Verdana" w:eastAsia="Times New Roman" w:hAnsi="Verdana" w:cs="Times New Roman"/>
          <w:color w:val="000000"/>
          <w:sz w:val="15"/>
          <w:szCs w:val="15"/>
          <w:lang w:eastAsia="tr-TR"/>
        </w:rPr>
      </w:pPr>
      <w:r w:rsidRPr="008500D1">
        <w:rPr>
          <w:rFonts w:ascii="Verdana" w:eastAsia="Times New Roman" w:hAnsi="Verdana" w:cs="Times New Roman"/>
          <w:color w:val="000000"/>
          <w:sz w:val="15"/>
          <w:szCs w:val="15"/>
          <w:lang w:eastAsia="tr-TR"/>
        </w:rPr>
        <w:t>Buna göre bir örnek vermek gerekirse,</w:t>
      </w:r>
    </w:p>
    <w:tbl>
      <w:tblPr>
        <w:tblW w:w="9795" w:type="dxa"/>
        <w:tblInd w:w="-356" w:type="dxa"/>
        <w:tblCellMar>
          <w:left w:w="0" w:type="dxa"/>
          <w:right w:w="0" w:type="dxa"/>
        </w:tblCellMar>
        <w:tblLook w:val="04A0" w:firstRow="1" w:lastRow="0" w:firstColumn="1" w:lastColumn="0" w:noHBand="0" w:noVBand="1"/>
      </w:tblPr>
      <w:tblGrid>
        <w:gridCol w:w="1135"/>
        <w:gridCol w:w="960"/>
        <w:gridCol w:w="960"/>
        <w:gridCol w:w="773"/>
        <w:gridCol w:w="960"/>
        <w:gridCol w:w="1167"/>
        <w:gridCol w:w="960"/>
        <w:gridCol w:w="960"/>
        <w:gridCol w:w="960"/>
        <w:gridCol w:w="960"/>
      </w:tblGrid>
      <w:tr w:rsidR="008500D1" w:rsidRPr="008500D1" w:rsidTr="008500D1">
        <w:trPr>
          <w:trHeight w:val="300"/>
        </w:trPr>
        <w:tc>
          <w:tcPr>
            <w:tcW w:w="1135" w:type="dxa"/>
            <w:tcBorders>
              <w:top w:val="dotted" w:sz="8" w:space="0" w:color="auto"/>
              <w:left w:val="dotted" w:sz="8" w:space="0" w:color="auto"/>
              <w:bottom w:val="dotted" w:sz="8" w:space="0" w:color="auto"/>
              <w:right w:val="dotted" w:sz="8" w:space="0" w:color="auto"/>
            </w:tcBorders>
            <w:tcMar>
              <w:top w:w="0" w:type="dxa"/>
              <w:left w:w="70" w:type="dxa"/>
              <w:bottom w:w="0" w:type="dxa"/>
              <w:right w:w="70" w:type="dxa"/>
            </w:tcMar>
            <w:vAlign w:val="bottom"/>
            <w:hideMark/>
          </w:tcPr>
          <w:p w:rsidR="008500D1" w:rsidRPr="008500D1" w:rsidRDefault="008500D1" w:rsidP="008500D1">
            <w:pPr>
              <w:spacing w:after="0" w:line="240" w:lineRule="auto"/>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 </w:t>
            </w:r>
          </w:p>
        </w:tc>
        <w:tc>
          <w:tcPr>
            <w:tcW w:w="960" w:type="dxa"/>
            <w:tcBorders>
              <w:top w:val="dotted" w:sz="8" w:space="0" w:color="auto"/>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Brüt</w:t>
            </w:r>
          </w:p>
        </w:tc>
        <w:tc>
          <w:tcPr>
            <w:tcW w:w="960" w:type="dxa"/>
            <w:tcBorders>
              <w:top w:val="dotted" w:sz="8" w:space="0" w:color="auto"/>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proofErr w:type="spellStart"/>
            <w:r w:rsidRPr="008500D1">
              <w:rPr>
                <w:rFonts w:ascii="Verdana" w:eastAsia="Times New Roman" w:hAnsi="Verdana" w:cs="Times New Roman"/>
                <w:sz w:val="15"/>
                <w:szCs w:val="15"/>
                <w:lang w:eastAsia="tr-TR"/>
              </w:rPr>
              <w:t>Sgk</w:t>
            </w:r>
            <w:proofErr w:type="spellEnd"/>
          </w:p>
        </w:tc>
        <w:tc>
          <w:tcPr>
            <w:tcW w:w="773" w:type="dxa"/>
            <w:tcBorders>
              <w:top w:val="dotted" w:sz="8" w:space="0" w:color="auto"/>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proofErr w:type="spellStart"/>
            <w:r w:rsidRPr="008500D1">
              <w:rPr>
                <w:rFonts w:ascii="Verdana" w:eastAsia="Times New Roman" w:hAnsi="Verdana" w:cs="Times New Roman"/>
                <w:sz w:val="15"/>
                <w:szCs w:val="15"/>
                <w:lang w:eastAsia="tr-TR"/>
              </w:rPr>
              <w:t>İşs</w:t>
            </w:r>
            <w:proofErr w:type="spellEnd"/>
            <w:r w:rsidRPr="008500D1">
              <w:rPr>
                <w:rFonts w:ascii="Verdana" w:eastAsia="Times New Roman" w:hAnsi="Verdana" w:cs="Times New Roman"/>
                <w:sz w:val="15"/>
                <w:szCs w:val="15"/>
                <w:lang w:eastAsia="tr-TR"/>
              </w:rPr>
              <w:t>.</w:t>
            </w:r>
          </w:p>
        </w:tc>
        <w:tc>
          <w:tcPr>
            <w:tcW w:w="960" w:type="dxa"/>
            <w:tcBorders>
              <w:top w:val="dotted" w:sz="8" w:space="0" w:color="auto"/>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GV mat.</w:t>
            </w:r>
          </w:p>
        </w:tc>
        <w:tc>
          <w:tcPr>
            <w:tcW w:w="1167" w:type="dxa"/>
            <w:tcBorders>
              <w:top w:val="dotted" w:sz="8" w:space="0" w:color="auto"/>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after="0" w:line="240" w:lineRule="auto"/>
              <w:ind w:left="269" w:hanging="269"/>
              <w:jc w:val="both"/>
              <w:rPr>
                <w:rFonts w:ascii="Verdana" w:eastAsia="Times New Roman" w:hAnsi="Verdana" w:cs="Times New Roman"/>
                <w:sz w:val="15"/>
                <w:szCs w:val="15"/>
                <w:lang w:eastAsia="tr-TR"/>
              </w:rPr>
            </w:pPr>
            <w:proofErr w:type="spellStart"/>
            <w:r w:rsidRPr="008500D1">
              <w:rPr>
                <w:rFonts w:ascii="Verdana" w:eastAsia="Times New Roman" w:hAnsi="Verdana" w:cs="Times New Roman"/>
                <w:sz w:val="15"/>
                <w:szCs w:val="15"/>
                <w:lang w:eastAsia="tr-TR"/>
              </w:rPr>
              <w:t>Küm.GV</w:t>
            </w:r>
            <w:proofErr w:type="spellEnd"/>
          </w:p>
          <w:p w:rsidR="008500D1" w:rsidRPr="008500D1" w:rsidRDefault="008500D1" w:rsidP="008500D1">
            <w:pPr>
              <w:spacing w:after="0" w:line="240" w:lineRule="auto"/>
              <w:ind w:left="269" w:hanging="269"/>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Mat.</w:t>
            </w:r>
          </w:p>
        </w:tc>
        <w:tc>
          <w:tcPr>
            <w:tcW w:w="960" w:type="dxa"/>
            <w:tcBorders>
              <w:top w:val="dotted" w:sz="8" w:space="0" w:color="auto"/>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GV</w:t>
            </w:r>
          </w:p>
        </w:tc>
        <w:tc>
          <w:tcPr>
            <w:tcW w:w="960" w:type="dxa"/>
            <w:tcBorders>
              <w:top w:val="dotted" w:sz="8" w:space="0" w:color="auto"/>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Damga</w:t>
            </w:r>
          </w:p>
        </w:tc>
        <w:tc>
          <w:tcPr>
            <w:tcW w:w="960" w:type="dxa"/>
            <w:tcBorders>
              <w:top w:val="dotted" w:sz="8" w:space="0" w:color="auto"/>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proofErr w:type="spellStart"/>
            <w:r w:rsidRPr="008500D1">
              <w:rPr>
                <w:rFonts w:ascii="Verdana" w:eastAsia="Times New Roman" w:hAnsi="Verdana" w:cs="Times New Roman"/>
                <w:sz w:val="15"/>
                <w:szCs w:val="15"/>
                <w:lang w:eastAsia="tr-TR"/>
              </w:rPr>
              <w:t>Agi</w:t>
            </w:r>
            <w:proofErr w:type="spellEnd"/>
          </w:p>
        </w:tc>
        <w:tc>
          <w:tcPr>
            <w:tcW w:w="960" w:type="dxa"/>
            <w:tcBorders>
              <w:top w:val="dotted" w:sz="8" w:space="0" w:color="auto"/>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Net Ücret</w:t>
            </w:r>
          </w:p>
        </w:tc>
      </w:tr>
      <w:tr w:rsidR="008500D1" w:rsidRPr="008500D1" w:rsidTr="008500D1">
        <w:trPr>
          <w:trHeight w:val="300"/>
        </w:trPr>
        <w:tc>
          <w:tcPr>
            <w:tcW w:w="1135" w:type="dxa"/>
            <w:tcBorders>
              <w:top w:val="nil"/>
              <w:left w:val="dotted" w:sz="8" w:space="0" w:color="auto"/>
              <w:bottom w:val="dotted" w:sz="8" w:space="0" w:color="auto"/>
              <w:right w:val="dotted" w:sz="8" w:space="0" w:color="auto"/>
            </w:tcBorders>
            <w:tcMar>
              <w:top w:w="0" w:type="dxa"/>
              <w:left w:w="70" w:type="dxa"/>
              <w:bottom w:w="0" w:type="dxa"/>
              <w:right w:w="70" w:type="dxa"/>
            </w:tcMar>
            <w:vAlign w:val="bottom"/>
            <w:hideMark/>
          </w:tcPr>
          <w:p w:rsidR="008500D1" w:rsidRPr="008500D1" w:rsidRDefault="008500D1" w:rsidP="008500D1">
            <w:pPr>
              <w:spacing w:after="0" w:line="240" w:lineRule="auto"/>
              <w:ind w:left="269" w:hanging="269"/>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Oca-Ey.16</w:t>
            </w:r>
          </w:p>
        </w:tc>
        <w:tc>
          <w:tcPr>
            <w:tcW w:w="960"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1.647,00</w:t>
            </w:r>
          </w:p>
        </w:tc>
        <w:tc>
          <w:tcPr>
            <w:tcW w:w="960"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230,58</w:t>
            </w:r>
          </w:p>
        </w:tc>
        <w:tc>
          <w:tcPr>
            <w:tcW w:w="773"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16,47</w:t>
            </w:r>
          </w:p>
        </w:tc>
        <w:tc>
          <w:tcPr>
            <w:tcW w:w="960"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1.399,95</w:t>
            </w:r>
          </w:p>
        </w:tc>
        <w:tc>
          <w:tcPr>
            <w:tcW w:w="1167"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1.399,95</w:t>
            </w:r>
          </w:p>
        </w:tc>
        <w:tc>
          <w:tcPr>
            <w:tcW w:w="960"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209,99</w:t>
            </w:r>
          </w:p>
        </w:tc>
        <w:tc>
          <w:tcPr>
            <w:tcW w:w="960"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12,50</w:t>
            </w:r>
          </w:p>
        </w:tc>
        <w:tc>
          <w:tcPr>
            <w:tcW w:w="960"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123,53</w:t>
            </w:r>
          </w:p>
        </w:tc>
        <w:tc>
          <w:tcPr>
            <w:tcW w:w="960"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1.300,99</w:t>
            </w:r>
          </w:p>
        </w:tc>
      </w:tr>
      <w:tr w:rsidR="008500D1" w:rsidRPr="008500D1" w:rsidTr="008500D1">
        <w:trPr>
          <w:trHeight w:val="300"/>
        </w:trPr>
        <w:tc>
          <w:tcPr>
            <w:tcW w:w="1135" w:type="dxa"/>
            <w:tcBorders>
              <w:top w:val="nil"/>
              <w:left w:val="dotted" w:sz="8" w:space="0" w:color="auto"/>
              <w:bottom w:val="dotted" w:sz="8" w:space="0" w:color="auto"/>
              <w:right w:val="dotted" w:sz="8" w:space="0" w:color="auto"/>
            </w:tcBorders>
            <w:tcMar>
              <w:top w:w="0" w:type="dxa"/>
              <w:left w:w="70" w:type="dxa"/>
              <w:bottom w:w="0" w:type="dxa"/>
              <w:right w:w="70" w:type="dxa"/>
            </w:tcMar>
            <w:vAlign w:val="bottom"/>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Ekim .16</w:t>
            </w:r>
          </w:p>
        </w:tc>
        <w:tc>
          <w:tcPr>
            <w:tcW w:w="960"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1.647,00</w:t>
            </w:r>
          </w:p>
        </w:tc>
        <w:tc>
          <w:tcPr>
            <w:tcW w:w="960"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230,58</w:t>
            </w:r>
          </w:p>
        </w:tc>
        <w:tc>
          <w:tcPr>
            <w:tcW w:w="773"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16,47</w:t>
            </w:r>
          </w:p>
        </w:tc>
        <w:tc>
          <w:tcPr>
            <w:tcW w:w="960"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1.399,95</w:t>
            </w:r>
          </w:p>
        </w:tc>
        <w:tc>
          <w:tcPr>
            <w:tcW w:w="1167"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13.999,50</w:t>
            </w:r>
          </w:p>
        </w:tc>
        <w:tc>
          <w:tcPr>
            <w:tcW w:w="960"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279,99</w:t>
            </w:r>
          </w:p>
        </w:tc>
        <w:tc>
          <w:tcPr>
            <w:tcW w:w="960"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12,50</w:t>
            </w:r>
          </w:p>
        </w:tc>
        <w:tc>
          <w:tcPr>
            <w:tcW w:w="960"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193,53</w:t>
            </w:r>
          </w:p>
        </w:tc>
        <w:tc>
          <w:tcPr>
            <w:tcW w:w="960"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8500D1" w:rsidRPr="008500D1" w:rsidRDefault="008500D1" w:rsidP="008500D1">
            <w:pPr>
              <w:spacing w:before="100" w:beforeAutospacing="1" w:after="0" w:line="240" w:lineRule="auto"/>
              <w:jc w:val="both"/>
              <w:rPr>
                <w:rFonts w:ascii="Verdana" w:eastAsia="Times New Roman" w:hAnsi="Verdana" w:cs="Times New Roman"/>
                <w:sz w:val="15"/>
                <w:szCs w:val="15"/>
                <w:lang w:eastAsia="tr-TR"/>
              </w:rPr>
            </w:pPr>
            <w:r w:rsidRPr="008500D1">
              <w:rPr>
                <w:rFonts w:ascii="Verdana" w:eastAsia="Times New Roman" w:hAnsi="Verdana" w:cs="Times New Roman"/>
                <w:sz w:val="15"/>
                <w:szCs w:val="15"/>
                <w:lang w:eastAsia="tr-TR"/>
              </w:rPr>
              <w:t>1.300,99</w:t>
            </w:r>
          </w:p>
        </w:tc>
      </w:tr>
    </w:tbl>
    <w:p w:rsidR="008500D1" w:rsidRPr="008500D1" w:rsidRDefault="008500D1" w:rsidP="008500D1">
      <w:pPr>
        <w:spacing w:before="100" w:beforeAutospacing="1" w:after="100" w:afterAutospacing="1" w:line="240" w:lineRule="auto"/>
        <w:jc w:val="both"/>
        <w:rPr>
          <w:rFonts w:ascii="Verdana" w:eastAsia="Times New Roman" w:hAnsi="Verdana" w:cs="Times New Roman"/>
          <w:color w:val="000000"/>
          <w:sz w:val="15"/>
          <w:szCs w:val="15"/>
          <w:lang w:eastAsia="tr-TR"/>
        </w:rPr>
      </w:pPr>
      <w:r w:rsidRPr="008500D1">
        <w:rPr>
          <w:rFonts w:ascii="Verdana" w:eastAsia="Times New Roman" w:hAnsi="Verdana" w:cs="Times New Roman"/>
          <w:color w:val="000000"/>
          <w:sz w:val="15"/>
          <w:szCs w:val="15"/>
          <w:lang w:eastAsia="tr-TR"/>
        </w:rPr>
        <w:t> </w:t>
      </w:r>
    </w:p>
    <w:p w:rsidR="008500D1" w:rsidRPr="008500D1" w:rsidRDefault="008500D1" w:rsidP="008500D1">
      <w:pPr>
        <w:spacing w:before="100" w:beforeAutospacing="1" w:after="100" w:afterAutospacing="1" w:line="240" w:lineRule="auto"/>
        <w:jc w:val="both"/>
        <w:rPr>
          <w:rFonts w:ascii="Verdana" w:eastAsia="Times New Roman" w:hAnsi="Verdana" w:cs="Times New Roman"/>
          <w:color w:val="000000"/>
          <w:sz w:val="15"/>
          <w:szCs w:val="15"/>
          <w:lang w:eastAsia="tr-TR"/>
        </w:rPr>
      </w:pPr>
      <w:r w:rsidRPr="008500D1">
        <w:rPr>
          <w:rFonts w:ascii="Verdana" w:eastAsia="Times New Roman" w:hAnsi="Verdana" w:cs="Times New Roman"/>
          <w:color w:val="000000"/>
          <w:sz w:val="15"/>
          <w:szCs w:val="15"/>
          <w:lang w:eastAsia="tr-TR"/>
        </w:rPr>
        <w:t>Yukarıdaki örnekte, Ocak ile Eylül ayı arasında   asgari ücretlinin bordrosunda değişiklik meydana gelmemekte, Ekim ayında ise vergi dilimindeki artış nedeniyle Gelir vergisi 70 TL artmaktadır. Yasa hükmü gereği AGİ 70 TL artırılarak Asgari ücretlinin maaşında düşüklük meydana gelmesi önlenmiş olacaktır.</w:t>
      </w:r>
    </w:p>
    <w:p w:rsidR="008500D1" w:rsidRPr="008500D1" w:rsidRDefault="008500D1" w:rsidP="008500D1">
      <w:pPr>
        <w:spacing w:before="100" w:beforeAutospacing="1" w:after="100" w:afterAutospacing="1" w:line="240" w:lineRule="auto"/>
        <w:jc w:val="both"/>
        <w:rPr>
          <w:rFonts w:ascii="Verdana" w:eastAsia="Times New Roman" w:hAnsi="Verdana" w:cs="Times New Roman"/>
          <w:color w:val="000000"/>
          <w:sz w:val="15"/>
          <w:szCs w:val="15"/>
          <w:lang w:eastAsia="tr-TR"/>
        </w:rPr>
      </w:pPr>
      <w:r w:rsidRPr="008500D1">
        <w:rPr>
          <w:rFonts w:ascii="Verdana" w:eastAsia="Times New Roman" w:hAnsi="Verdana" w:cs="Times New Roman"/>
          <w:color w:val="000000"/>
          <w:sz w:val="15"/>
          <w:szCs w:val="15"/>
          <w:lang w:eastAsia="tr-TR"/>
        </w:rPr>
        <w:t>Uygulamada dikkat edilmesi gereken husus, asgari ücretlinin medeni durumu ne olursa olsun bu uygulamadan yararlanacağı, ancak kıyasa esas tutarın 1.300,99 TL olacağıdır. Dolayısıyla, medeni durumu nedeniyle, maaşındaki düşüklük 1.300,99 TL’nin altına düşmeyen farklar için tamamlama yapılmayacaktır.</w:t>
      </w:r>
    </w:p>
    <w:p w:rsidR="008355C8" w:rsidRDefault="008355C8">
      <w:bookmarkStart w:id="0" w:name="_GoBack"/>
      <w:bookmarkEnd w:id="0"/>
    </w:p>
    <w:sectPr w:rsidR="008355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D1"/>
    <w:rsid w:val="008355C8"/>
    <w:rsid w:val="008500D1"/>
    <w:rsid w:val="00AB1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CE331-5E76-4A20-9165-F9F3A651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850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dc:creator>
  <cp:keywords/>
  <dc:description/>
  <cp:lastModifiedBy>Term</cp:lastModifiedBy>
  <cp:revision>1</cp:revision>
  <dcterms:created xsi:type="dcterms:W3CDTF">2017-03-23T07:22:00Z</dcterms:created>
  <dcterms:modified xsi:type="dcterms:W3CDTF">2017-03-23T07:23:00Z</dcterms:modified>
</cp:coreProperties>
</file>